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78B48" w14:textId="77777777" w:rsidR="00FE067E" w:rsidRDefault="00CD36CF" w:rsidP="00CC1F3B">
      <w:pPr>
        <w:pStyle w:val="TitlePageOrigin"/>
      </w:pPr>
      <w:r>
        <w:t>WEST virginia legislature</w:t>
      </w:r>
    </w:p>
    <w:p w14:paraId="2BF727A4" w14:textId="77777777" w:rsidR="00CD36CF" w:rsidRDefault="00CD36CF" w:rsidP="00CC1F3B">
      <w:pPr>
        <w:pStyle w:val="TitlePageSession"/>
      </w:pPr>
      <w:r>
        <w:t>20</w:t>
      </w:r>
      <w:r w:rsidR="00CB1ADC">
        <w:t>2</w:t>
      </w:r>
      <w:r w:rsidR="004D36C4">
        <w:t>1</w:t>
      </w:r>
      <w:r>
        <w:t xml:space="preserve"> regular session</w:t>
      </w:r>
    </w:p>
    <w:p w14:paraId="43B89A4A" w14:textId="2C84BB1A" w:rsidR="00CD36CF" w:rsidRDefault="0026237D" w:rsidP="00CC1F3B">
      <w:pPr>
        <w:pStyle w:val="TitlePageBillPrefix"/>
      </w:pPr>
      <w:sdt>
        <w:sdtPr>
          <w:rPr>
            <w:color w:val="auto"/>
          </w:rPr>
          <w:tag w:val="IntroDate"/>
          <w:id w:val="-1236936958"/>
          <w:placeholder>
            <w:docPart w:val="C3B307651B904D378A5FF67827E81709"/>
          </w:placeholder>
          <w:text/>
        </w:sdtPr>
        <w:sdtEndPr/>
        <w:sdtContent>
          <w:r w:rsidR="002E5026" w:rsidRPr="002E5026">
            <w:rPr>
              <w:color w:val="auto"/>
            </w:rPr>
            <w:t xml:space="preserve"> Originating</w:t>
          </w:r>
        </w:sdtContent>
      </w:sdt>
    </w:p>
    <w:p w14:paraId="1C03EF50" w14:textId="56D5E3F3" w:rsidR="00CD36CF" w:rsidRDefault="0026237D" w:rsidP="00CC1F3B">
      <w:pPr>
        <w:pStyle w:val="BillNumber"/>
      </w:pPr>
      <w:sdt>
        <w:sdt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7CD44D7481684EFBB2169CAE07E0AB86"/>
          </w:placeholder>
          <w:text/>
        </w:sdtPr>
        <w:sdtEndPr/>
        <w:sdtContent>
          <w:r w:rsidR="00CE3C5A">
            <w:t>3058</w:t>
          </w:r>
        </w:sdtContent>
      </w:sdt>
    </w:p>
    <w:p w14:paraId="5E008F27" w14:textId="1D8355D8" w:rsidR="00CD36CF" w:rsidRDefault="00CD36CF" w:rsidP="00CC1F3B">
      <w:pPr>
        <w:pStyle w:val="Sponsors"/>
      </w:pPr>
      <w:r>
        <w:t xml:space="preserve">By </w:t>
      </w:r>
      <w:sdt>
        <w:sdtPr>
          <w:tag w:val="Sponsors"/>
          <w:id w:val="1589585889"/>
          <w:placeholder>
            <w:docPart w:val="BC6A277E70A54C5D83F0F91084EB54B0"/>
          </w:placeholder>
          <w:text w:multiLine="1"/>
        </w:sdtPr>
        <w:sdtEndPr/>
        <w:sdtContent>
          <w:r w:rsidR="00AC5B27">
            <w:t>Delegate</w:t>
          </w:r>
          <w:r w:rsidR="00C560C2">
            <w:t>s</w:t>
          </w:r>
          <w:r w:rsidR="00AC5B27">
            <w:t xml:space="preserve"> Foster</w:t>
          </w:r>
          <w:r w:rsidR="00C560C2">
            <w:t>, Steele, Forsht, and Dean</w:t>
          </w:r>
        </w:sdtContent>
      </w:sdt>
    </w:p>
    <w:p w14:paraId="5680A2C2" w14:textId="769FF589" w:rsidR="00E831B3" w:rsidRDefault="00CD36CF" w:rsidP="00CC1F3B">
      <w:pPr>
        <w:pStyle w:val="References"/>
      </w:pPr>
      <w:r>
        <w:t>[</w:t>
      </w:r>
      <w:sdt>
        <w:sdtPr>
          <w:tag w:val="References"/>
          <w:id w:val="-1043047873"/>
          <w:placeholder>
            <w:docPart w:val="460D713500284C7FB4932CF3609CC106"/>
          </w:placeholder>
          <w:text w:multiLine="1"/>
        </w:sdtPr>
        <w:sdtEndPr/>
        <w:sdtContent>
          <w:r w:rsidR="00086A0E">
            <w:t>Originating in the Committee on Government Organization; March 9, 2021</w:t>
          </w:r>
        </w:sdtContent>
      </w:sdt>
      <w:r>
        <w:t>]</w:t>
      </w:r>
    </w:p>
    <w:p w14:paraId="1FF0D348" w14:textId="210BD2B9" w:rsidR="00303684" w:rsidRDefault="0000526A" w:rsidP="00CC1F3B">
      <w:pPr>
        <w:pStyle w:val="TitleSection"/>
      </w:pPr>
      <w:r>
        <w:lastRenderedPageBreak/>
        <w:t>A BILL</w:t>
      </w:r>
      <w:r w:rsidR="0050525B">
        <w:t xml:space="preserve"> to amend and reenact §30-1-10 of the Code of West Virginia, 1931, as amended, all relating to monetary requirements of the boards; </w:t>
      </w:r>
      <w:r w:rsidR="00DA2508">
        <w:t>reducing the fund balance amounts of the boards to the average annual expenses from the previous five years; creating an Occupational Licensing Legal Fund from existing revenues; providing for transfer of money from excess receipts of occupational licensing boards; specifying authorized uses of the funds; providing that expenditures are subject to appropriation by the Legislature; and requiring a balance transfer to the General Revenue Fund.</w:t>
      </w:r>
    </w:p>
    <w:p w14:paraId="74E62CB9" w14:textId="77777777" w:rsidR="00303684" w:rsidRDefault="00303684" w:rsidP="00CC1F3B">
      <w:pPr>
        <w:pStyle w:val="EnactingClause"/>
        <w:sectPr w:rsidR="0030368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2D9F2E14" w14:textId="77777777" w:rsidR="00AC5B27" w:rsidRPr="00AC5B27" w:rsidRDefault="00AC5B27" w:rsidP="00AC5B27">
      <w:pPr>
        <w:widowControl w:val="0"/>
        <w:suppressLineNumbers/>
        <w:ind w:left="720" w:hanging="720"/>
        <w:jc w:val="both"/>
        <w:outlineLvl w:val="1"/>
        <w:rPr>
          <w:rFonts w:eastAsia="Calibri"/>
          <w:b/>
          <w:caps/>
          <w:color w:val="000000"/>
          <w:sz w:val="24"/>
        </w:rPr>
        <w:sectPr w:rsidR="00AC5B27" w:rsidRPr="00AC5B27" w:rsidSect="00AC5B27">
          <w:type w:val="continuous"/>
          <w:pgSz w:w="12240" w:h="15840"/>
          <w:pgMar w:top="1440" w:right="1440" w:bottom="1440" w:left="1440" w:header="1440" w:footer="1440" w:gutter="0"/>
          <w:cols w:space="720"/>
          <w:noEndnote/>
        </w:sectPr>
      </w:pPr>
      <w:r w:rsidRPr="00AC5B27">
        <w:rPr>
          <w:rFonts w:eastAsia="Calibri"/>
          <w:b/>
          <w:caps/>
          <w:color w:val="000000"/>
          <w:sz w:val="24"/>
        </w:rPr>
        <w:t>ARTICLE 1. GENERAL PROVISIONS APPLICABLE TO ALL STATE BOARDS OF EXAMINATION OR REGISTRATION REFERRED TO IN CHAPTER.</w:t>
      </w:r>
    </w:p>
    <w:p w14:paraId="14942985" w14:textId="420168D6" w:rsidR="00AC5B27" w:rsidRPr="00AC5B27" w:rsidRDefault="00AC5B27" w:rsidP="00AC5B27">
      <w:pPr>
        <w:ind w:left="720" w:hanging="720"/>
        <w:jc w:val="both"/>
        <w:outlineLvl w:val="3"/>
        <w:rPr>
          <w:rFonts w:eastAsia="Calibri" w:cs="Arial"/>
          <w:b/>
          <w:color w:val="auto"/>
        </w:rPr>
      </w:pPr>
      <w:r w:rsidRPr="00AC5B27">
        <w:rPr>
          <w:rFonts w:eastAsia="Calibri" w:cs="Arial"/>
          <w:b/>
          <w:color w:val="auto"/>
        </w:rPr>
        <w:t>§30-1-10. Disposition of money fines; legislative audit; review of board’s fee structure.</w:t>
      </w:r>
    </w:p>
    <w:p w14:paraId="13099FD2" w14:textId="77777777" w:rsidR="00AC5B27" w:rsidRPr="00AC5B27" w:rsidRDefault="00AC5B27" w:rsidP="00AC5B27">
      <w:pPr>
        <w:ind w:left="720" w:hanging="720"/>
        <w:jc w:val="both"/>
        <w:outlineLvl w:val="3"/>
        <w:rPr>
          <w:rFonts w:eastAsia="Calibri" w:cs="Arial"/>
          <w:b/>
          <w:color w:val="auto"/>
        </w:rPr>
        <w:sectPr w:rsidR="00AC5B27" w:rsidRPr="00AC5B27" w:rsidSect="00AC5B27">
          <w:type w:val="continuous"/>
          <w:pgSz w:w="12240" w:h="15840"/>
          <w:pgMar w:top="1440" w:right="1440" w:bottom="1440" w:left="1440" w:header="720" w:footer="720" w:gutter="0"/>
          <w:cols w:space="720"/>
          <w:docGrid w:linePitch="360"/>
        </w:sectPr>
      </w:pPr>
    </w:p>
    <w:p w14:paraId="73450038" w14:textId="02B8B6BA" w:rsidR="00AC5B27" w:rsidRPr="00AC5B27" w:rsidRDefault="00AC5B27" w:rsidP="00AC5B27">
      <w:pPr>
        <w:ind w:firstLine="720"/>
        <w:jc w:val="both"/>
        <w:rPr>
          <w:rFonts w:eastAsia="Calibri" w:cs="Arial"/>
          <w:color w:val="auto"/>
        </w:rPr>
      </w:pPr>
      <w:r w:rsidRPr="00AC5B27">
        <w:rPr>
          <w:rFonts w:eastAsia="Calibri" w:cs="Arial"/>
          <w:color w:val="auto"/>
        </w:rPr>
        <w:t xml:space="preserve">(a) The secretary of every board referred to in this chapter shall receive and account for all money which it derives pursuant to the provisions of this chapter which are applicable to it. With the exception of money received as fines, each board shall pay all money which is collected into a separate special fund of the State Treasury which has been established for each board. This money shall be used exclusively by each board for purposes of administration and enforcement of its duties pursuant to this chapter. Any money received as fines shall be deposited into the General Revenue Fund of the State Treasury. When the special fund of any board accumulates to an amount which exceeds </w:t>
      </w:r>
      <w:r w:rsidRPr="00AC5B27">
        <w:rPr>
          <w:rFonts w:eastAsia="Calibri" w:cs="Arial"/>
          <w:strike/>
          <w:color w:val="auto"/>
        </w:rPr>
        <w:t>twice the annual budget</w:t>
      </w:r>
      <w:r w:rsidRPr="00AC5B27">
        <w:rPr>
          <w:rFonts w:eastAsia="Calibri" w:cs="Arial"/>
          <w:color w:val="auto"/>
        </w:rPr>
        <w:t xml:space="preserve"> </w:t>
      </w:r>
      <w:r>
        <w:rPr>
          <w:rFonts w:eastAsia="Calibri" w:cs="Arial"/>
          <w:color w:val="auto"/>
          <w:u w:val="single"/>
        </w:rPr>
        <w:t xml:space="preserve">the average actual annual expenses over the past five years, excluding zero-dollar years, </w:t>
      </w:r>
      <w:r w:rsidRPr="00AC5B27">
        <w:rPr>
          <w:rFonts w:eastAsia="Calibri" w:cs="Arial"/>
          <w:color w:val="auto"/>
        </w:rPr>
        <w:t>of the board or $10,000, whichever is greater, the State Treasurer shall:</w:t>
      </w:r>
    </w:p>
    <w:p w14:paraId="6ED11B6B" w14:textId="06A1010D" w:rsidR="00AC5B27" w:rsidRDefault="00AC5B27" w:rsidP="00AC5B27">
      <w:pPr>
        <w:ind w:firstLine="720"/>
        <w:jc w:val="both"/>
        <w:rPr>
          <w:rFonts w:eastAsia="Calibri" w:cs="Arial"/>
          <w:color w:val="auto"/>
          <w:u w:val="single"/>
        </w:rPr>
      </w:pPr>
      <w:r>
        <w:rPr>
          <w:rFonts w:eastAsia="Calibri" w:cs="Arial"/>
          <w:color w:val="auto"/>
          <w:u w:val="single"/>
        </w:rPr>
        <w:t>(1) Transfer the excess amount to the Occupational Licensing Legal Fund created in subsection (c) of this section;</w:t>
      </w:r>
    </w:p>
    <w:p w14:paraId="392668BE" w14:textId="0CD32D84" w:rsidR="00AC5B27" w:rsidRPr="00AC5B27" w:rsidRDefault="00AC5B27" w:rsidP="00AC5B27">
      <w:pPr>
        <w:ind w:firstLine="720"/>
        <w:jc w:val="both"/>
        <w:rPr>
          <w:rFonts w:eastAsia="Calibri" w:cs="Arial"/>
          <w:color w:val="auto"/>
        </w:rPr>
      </w:pPr>
      <w:r w:rsidRPr="00AC5B27">
        <w:rPr>
          <w:rFonts w:eastAsia="Calibri" w:cs="Arial"/>
          <w:strike/>
          <w:color w:val="auto"/>
        </w:rPr>
        <w:t>(1)</w:t>
      </w:r>
      <w:r>
        <w:rPr>
          <w:rFonts w:eastAsia="Calibri" w:cs="Arial"/>
          <w:color w:val="auto"/>
          <w:u w:val="single"/>
        </w:rPr>
        <w:t>(2) Any amount exceeding a $1,500,000.00 balance in the Occupational Licensing Legal Fund, transfer</w:t>
      </w:r>
      <w:r w:rsidRPr="00AC5B27">
        <w:rPr>
          <w:rFonts w:eastAsia="Calibri" w:cs="Arial"/>
          <w:strike/>
          <w:color w:val="auto"/>
        </w:rPr>
        <w:t xml:space="preserve"> Transfer</w:t>
      </w:r>
      <w:r w:rsidRPr="00AC5B27">
        <w:rPr>
          <w:rFonts w:eastAsia="Calibri" w:cs="Arial"/>
          <w:color w:val="auto"/>
        </w:rPr>
        <w:t xml:space="preserve"> the excess amount to the state General Revenue Fund; and</w:t>
      </w:r>
    </w:p>
    <w:p w14:paraId="118D195E" w14:textId="0682D6E0" w:rsidR="00AC5B27" w:rsidRPr="00AC5B27" w:rsidRDefault="00AC5B27" w:rsidP="00AC5B27">
      <w:pPr>
        <w:ind w:firstLine="720"/>
        <w:jc w:val="both"/>
        <w:rPr>
          <w:rFonts w:eastAsia="Calibri" w:cs="Arial"/>
          <w:color w:val="auto"/>
        </w:rPr>
      </w:pPr>
      <w:r w:rsidRPr="00AC5B27">
        <w:rPr>
          <w:rFonts w:eastAsia="Calibri" w:cs="Arial"/>
          <w:strike/>
          <w:color w:val="auto"/>
        </w:rPr>
        <w:lastRenderedPageBreak/>
        <w:t>(2)</w:t>
      </w:r>
      <w:r>
        <w:rPr>
          <w:rFonts w:eastAsia="Calibri" w:cs="Arial"/>
          <w:color w:val="auto"/>
          <w:u w:val="single"/>
        </w:rPr>
        <w:t>(3)</w:t>
      </w:r>
      <w:r w:rsidRPr="00AC5B27">
        <w:rPr>
          <w:rFonts w:eastAsia="Calibri" w:cs="Arial"/>
          <w:color w:val="auto"/>
        </w:rPr>
        <w:t xml:space="preserve"> Notify the Legislative Auditor that the transfer has been made.</w:t>
      </w:r>
    </w:p>
    <w:p w14:paraId="6D12E48B" w14:textId="77777777" w:rsidR="00AC5B27" w:rsidRPr="00AC5B27" w:rsidRDefault="00AC5B27" w:rsidP="00AC5B27">
      <w:pPr>
        <w:ind w:firstLine="720"/>
        <w:jc w:val="both"/>
        <w:rPr>
          <w:rFonts w:eastAsia="Calibri" w:cs="Arial"/>
          <w:color w:val="auto"/>
        </w:rPr>
      </w:pPr>
      <w:r w:rsidRPr="00AC5B27">
        <w:rPr>
          <w:rFonts w:eastAsia="Calibri" w:cs="Arial"/>
          <w:color w:val="auto"/>
        </w:rPr>
        <w:t>(b) (1) Every licensing board which is authorized by the provisions of this chapter shall be subject to audit by the office of the Legislative Auditor.</w:t>
      </w:r>
    </w:p>
    <w:p w14:paraId="08D68795" w14:textId="77777777" w:rsidR="00AC5B27" w:rsidRPr="00AC5B27" w:rsidRDefault="00AC5B27" w:rsidP="00AC5B27">
      <w:pPr>
        <w:ind w:firstLine="720"/>
        <w:jc w:val="both"/>
        <w:rPr>
          <w:rFonts w:eastAsia="Calibri" w:cs="Arial"/>
          <w:color w:val="auto"/>
        </w:rPr>
      </w:pPr>
      <w:r w:rsidRPr="00AC5B27">
        <w:rPr>
          <w:rFonts w:eastAsia="Calibri" w:cs="Arial"/>
          <w:color w:val="auto"/>
        </w:rPr>
        <w:t xml:space="preserve">(2) Within a reasonable time after the State Treasurer notifies the Legislative Auditor of a transfer required to be made under this section, the Legislative Auditor shall conduct a review of the fee structure of the applicable board to determine if the amount of the board’s fees generate excessive revenue, when compared to the board’s normal expenses. If the Legislative Auditor finds that excess revenue is generated, he or she shall report his or her findings to the Legislature’s Joint Standing Committee on Government Organization, along with recommendations on how the fees can be adjusted to generate only the amount the board reasonably needs to operate under this chapter. </w:t>
      </w:r>
    </w:p>
    <w:p w14:paraId="15CEDB7C" w14:textId="77777777" w:rsidR="0050525B" w:rsidRDefault="00AC5B27" w:rsidP="00AC5B27">
      <w:pPr>
        <w:pStyle w:val="SectionBody"/>
        <w:rPr>
          <w:u w:val="single"/>
        </w:rPr>
      </w:pPr>
      <w:r w:rsidRPr="00AC5B27">
        <w:rPr>
          <w:u w:val="single"/>
        </w:rPr>
        <w:t>(c) Beginning July 1</w:t>
      </w:r>
      <w:r>
        <w:rPr>
          <w:u w:val="single"/>
        </w:rPr>
        <w:t>,</w:t>
      </w:r>
      <w:r w:rsidRPr="00AC5B27">
        <w:rPr>
          <w:u w:val="single"/>
        </w:rPr>
        <w:t xml:space="preserve"> 2022</w:t>
      </w:r>
      <w:r>
        <w:rPr>
          <w:u w:val="single"/>
        </w:rPr>
        <w:t>,</w:t>
      </w:r>
      <w:r w:rsidRPr="00AC5B27">
        <w:rPr>
          <w:u w:val="single"/>
        </w:rPr>
        <w:t xml:space="preserve"> </w:t>
      </w:r>
      <w:r>
        <w:rPr>
          <w:u w:val="single"/>
        </w:rPr>
        <w:t xml:space="preserve">the Occupational Licensing Legal Fund is hereby created in the State Treasury. The Fund shall be administered by </w:t>
      </w:r>
      <w:r w:rsidR="00D30E77">
        <w:rPr>
          <w:u w:val="single"/>
        </w:rPr>
        <w:t>the Finance Division of the Department of Administration</w:t>
      </w:r>
      <w:r w:rsidR="0050525B">
        <w:rPr>
          <w:u w:val="single"/>
        </w:rPr>
        <w:t xml:space="preserve"> </w:t>
      </w:r>
      <w:r>
        <w:rPr>
          <w:u w:val="single"/>
        </w:rPr>
        <w:t>and shall consist of all monies made available from any source, including, but not limited to, all amounts transferred into the Fund by the boards as required by subsection</w:t>
      </w:r>
      <w:r w:rsidR="003C6694">
        <w:rPr>
          <w:u w:val="single"/>
        </w:rPr>
        <w:t xml:space="preserve"> </w:t>
      </w:r>
      <w:r>
        <w:rPr>
          <w:u w:val="single"/>
        </w:rPr>
        <w:t>(a) of this section</w:t>
      </w:r>
      <w:r w:rsidR="003C6694">
        <w:rPr>
          <w:u w:val="single"/>
        </w:rPr>
        <w:t xml:space="preserve"> or transfers from any source, any moneys that may be appropriated and designated for the Fund by the Legislature, and all interests or other return earned from investment of the Fund. </w:t>
      </w:r>
      <w:r w:rsidR="0050525B">
        <w:rPr>
          <w:u w:val="single"/>
        </w:rPr>
        <w:t xml:space="preserve">The Finance Division of the Department of Administration, in concert and with consultation from the boards, shall review and approve all invoices from the Office of the Attorney General prior to submitting expenses to be paid from the Fund. </w:t>
      </w:r>
    </w:p>
    <w:p w14:paraId="3D4E9E8F" w14:textId="6CB501D1" w:rsidR="008736AA" w:rsidRPr="00AC5B27" w:rsidRDefault="003C6694" w:rsidP="00AC5B27">
      <w:pPr>
        <w:pStyle w:val="SectionBody"/>
        <w:rPr>
          <w:u w:val="single"/>
        </w:rPr>
      </w:pPr>
      <w:r>
        <w:rPr>
          <w:u w:val="single"/>
        </w:rPr>
        <w:t xml:space="preserve">Expenditures of the Fund shall be </w:t>
      </w:r>
      <w:r w:rsidR="007D2896" w:rsidRPr="00AC5B27">
        <w:rPr>
          <w:u w:val="single"/>
        </w:rPr>
        <w:t>used to pay legal fees and court cost</w:t>
      </w:r>
      <w:r w:rsidR="007D2896">
        <w:rPr>
          <w:u w:val="single"/>
        </w:rPr>
        <w:t>s</w:t>
      </w:r>
      <w:r w:rsidR="007D2896" w:rsidRPr="00AC5B27">
        <w:rPr>
          <w:u w:val="single"/>
        </w:rPr>
        <w:t xml:space="preserve"> to the West Virginia Attorney General</w:t>
      </w:r>
      <w:r w:rsidR="007D2896">
        <w:rPr>
          <w:u w:val="single"/>
        </w:rPr>
        <w:t>, or other counsel</w:t>
      </w:r>
      <w:r w:rsidR="0050525B">
        <w:rPr>
          <w:u w:val="single"/>
        </w:rPr>
        <w:t xml:space="preserve"> as may be required pursuant to this subsection</w:t>
      </w:r>
      <w:r w:rsidR="007D2896">
        <w:rPr>
          <w:u w:val="single"/>
        </w:rPr>
        <w:t>,</w:t>
      </w:r>
      <w:r w:rsidR="007D2896" w:rsidRPr="00AC5B27">
        <w:rPr>
          <w:u w:val="single"/>
        </w:rPr>
        <w:t xml:space="preserve"> incurred within the operation of the licensing boards covered under this chapter</w:t>
      </w:r>
      <w:r>
        <w:rPr>
          <w:u w:val="single"/>
        </w:rPr>
        <w:t xml:space="preserve"> and are not authorized from collections</w:t>
      </w:r>
      <w:r w:rsidR="0050525B">
        <w:rPr>
          <w:u w:val="single"/>
        </w:rPr>
        <w:t>,</w:t>
      </w:r>
      <w:r>
        <w:rPr>
          <w:u w:val="single"/>
        </w:rPr>
        <w:t xml:space="preserve"> but are to be made only in accordance with appropriat</w:t>
      </w:r>
      <w:r w:rsidR="0050525B">
        <w:rPr>
          <w:u w:val="single"/>
        </w:rPr>
        <w:t>ions</w:t>
      </w:r>
      <w:r>
        <w:rPr>
          <w:u w:val="single"/>
        </w:rPr>
        <w:t xml:space="preserve"> from the Legislature and in accordance with §12-3-1 of this code and upon the fulfillment of the provisions set forth in §11B-2-1 </w:t>
      </w:r>
      <w:r>
        <w:rPr>
          <w:i/>
          <w:iCs/>
          <w:u w:val="single"/>
        </w:rPr>
        <w:t>et seq.,</w:t>
      </w:r>
      <w:r>
        <w:rPr>
          <w:u w:val="single"/>
        </w:rPr>
        <w:t xml:space="preserve"> of this code. Any balance, including accrued interest and other </w:t>
      </w:r>
      <w:r>
        <w:rPr>
          <w:u w:val="single"/>
        </w:rPr>
        <w:lastRenderedPageBreak/>
        <w:t>returns, remaining in the Fund at the end of each fiscal year shall not revert to the General Revenue Fund</w:t>
      </w:r>
      <w:r w:rsidR="00D30E77">
        <w:rPr>
          <w:u w:val="single"/>
        </w:rPr>
        <w:t>,</w:t>
      </w:r>
      <w:r>
        <w:rPr>
          <w:u w:val="single"/>
        </w:rPr>
        <w:t xml:space="preserve"> but shall remain in the fund and be expended as provided by this section</w:t>
      </w:r>
      <w:r w:rsidR="0026237D">
        <w:rPr>
          <w:u w:val="single"/>
        </w:rPr>
        <w:t>:</w:t>
      </w:r>
      <w:r w:rsidR="007D2896">
        <w:rPr>
          <w:u w:val="single"/>
        </w:rPr>
        <w:t xml:space="preserve"> </w:t>
      </w:r>
      <w:r w:rsidR="007D2896">
        <w:rPr>
          <w:i/>
          <w:iCs/>
          <w:u w:val="single"/>
        </w:rPr>
        <w:t>Provided,</w:t>
      </w:r>
      <w:r w:rsidR="007D2896">
        <w:rPr>
          <w:u w:val="single"/>
        </w:rPr>
        <w:t xml:space="preserve"> That before this fund </w:t>
      </w:r>
      <w:r w:rsidR="00AC5B27" w:rsidRPr="00AC5B27">
        <w:rPr>
          <w:u w:val="single"/>
        </w:rPr>
        <w:t xml:space="preserve">may be used for </w:t>
      </w:r>
      <w:r w:rsidR="007D2896">
        <w:rPr>
          <w:u w:val="single"/>
        </w:rPr>
        <w:t xml:space="preserve">outside </w:t>
      </w:r>
      <w:r w:rsidR="00AC5B27" w:rsidRPr="00AC5B27">
        <w:rPr>
          <w:u w:val="single"/>
        </w:rPr>
        <w:t>counsel</w:t>
      </w:r>
      <w:r w:rsidR="007D2896">
        <w:rPr>
          <w:u w:val="single"/>
        </w:rPr>
        <w:t xml:space="preserve">, the Office of the </w:t>
      </w:r>
      <w:r w:rsidR="00AC5B27" w:rsidRPr="00AC5B27">
        <w:rPr>
          <w:u w:val="single"/>
        </w:rPr>
        <w:t xml:space="preserve">Attorney General must </w:t>
      </w:r>
      <w:r w:rsidR="007D2896">
        <w:rPr>
          <w:u w:val="single"/>
        </w:rPr>
        <w:t>indicate that the office lacks the required expertise or staff to adequately represent the board</w:t>
      </w:r>
      <w:r w:rsidR="0050525B">
        <w:rPr>
          <w:u w:val="single"/>
        </w:rPr>
        <w:t xml:space="preserve"> in any proceedings</w:t>
      </w:r>
      <w:r w:rsidR="007D2896">
        <w:rPr>
          <w:u w:val="single"/>
        </w:rPr>
        <w:t xml:space="preserve">. </w:t>
      </w:r>
    </w:p>
    <w:p w14:paraId="0C25966A" w14:textId="77777777" w:rsidR="00C33014" w:rsidRDefault="00C33014" w:rsidP="00CC1F3B">
      <w:pPr>
        <w:pStyle w:val="Note"/>
      </w:pPr>
    </w:p>
    <w:p w14:paraId="19081868" w14:textId="0898445A" w:rsidR="006865E9" w:rsidRDefault="00CF1DCA" w:rsidP="00CC1F3B">
      <w:pPr>
        <w:pStyle w:val="Note"/>
      </w:pPr>
      <w:r>
        <w:t>NOTE: The</w:t>
      </w:r>
      <w:r w:rsidR="006865E9">
        <w:t xml:space="preserve"> purpose of this bill is to </w:t>
      </w:r>
      <w:r w:rsidR="0050525B">
        <w:t xml:space="preserve">establish a special revenue fund out of existing receipts from all the Chapter 30 boards to pay legal fees and court costs to the Attorney General’s office, or other counsel, incurred within operation of the board. </w:t>
      </w:r>
    </w:p>
    <w:p w14:paraId="669D1496"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12F8F" w14:textId="77777777" w:rsidR="004F20BC" w:rsidRPr="00B844FE" w:rsidRDefault="004F20BC" w:rsidP="00B844FE">
      <w:r>
        <w:separator/>
      </w:r>
    </w:p>
  </w:endnote>
  <w:endnote w:type="continuationSeparator" w:id="0">
    <w:p w14:paraId="6FDCD8C2" w14:textId="77777777" w:rsidR="004F20BC" w:rsidRPr="00B844FE" w:rsidRDefault="004F20B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A832C12" w14:textId="77777777" w:rsidR="003C6694" w:rsidRPr="00B844FE" w:rsidRDefault="003C669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53E7186" w14:textId="77777777" w:rsidR="003C6694" w:rsidRDefault="003C6694"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2181562" w14:textId="77777777" w:rsidR="003C6694" w:rsidRDefault="003C6694"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455EC" w14:textId="77777777" w:rsidR="004F20BC" w:rsidRPr="00B844FE" w:rsidRDefault="004F20BC" w:rsidP="00B844FE">
      <w:r>
        <w:separator/>
      </w:r>
    </w:p>
  </w:footnote>
  <w:footnote w:type="continuationSeparator" w:id="0">
    <w:p w14:paraId="406F8A0A" w14:textId="77777777" w:rsidR="004F20BC" w:rsidRPr="00B844FE" w:rsidRDefault="004F20B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F9482" w14:textId="77777777" w:rsidR="003C6694" w:rsidRPr="00B844FE" w:rsidRDefault="0026237D">
    <w:pPr>
      <w:pStyle w:val="Header"/>
    </w:pPr>
    <w:sdt>
      <w:sdtPr>
        <w:id w:val="-684364211"/>
        <w:placeholder>
          <w:docPart w:val="543F7F9FAEAE4ECD8FBE26096A4517D4"/>
        </w:placeholder>
        <w:temporary/>
        <w:showingPlcHdr/>
        <w15:appearance w15:val="hidden"/>
      </w:sdtPr>
      <w:sdtEndPr/>
      <w:sdtContent>
        <w:r w:rsidR="003C6694" w:rsidRPr="00B844FE">
          <w:t>[Type here]</w:t>
        </w:r>
      </w:sdtContent>
    </w:sdt>
    <w:r w:rsidR="003C6694" w:rsidRPr="00B844FE">
      <w:ptab w:relativeTo="margin" w:alignment="left" w:leader="none"/>
    </w:r>
    <w:sdt>
      <w:sdtPr>
        <w:id w:val="-556240388"/>
        <w:placeholder>
          <w:docPart w:val="543F7F9FAEAE4ECD8FBE26096A4517D4"/>
        </w:placeholder>
        <w:temporary/>
        <w:showingPlcHdr/>
        <w15:appearance w15:val="hidden"/>
      </w:sdtPr>
      <w:sdtEndPr/>
      <w:sdtContent>
        <w:r w:rsidR="003C669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7A09" w14:textId="5D2B011A" w:rsidR="003C6694" w:rsidRPr="00C33014" w:rsidRDefault="0026237D" w:rsidP="000573A9">
    <w:pPr>
      <w:pStyle w:val="HeaderStyle"/>
    </w:pPr>
    <w:sdt>
      <w:sdtPr>
        <w:tag w:val="BNumWH"/>
        <w:id w:val="138549797"/>
        <w:placeholder>
          <w:docPart w:val="8A350220B8A54E4E83307E773709790C"/>
        </w:placeholder>
        <w:showingPlcHdr/>
        <w:text/>
      </w:sdtPr>
      <w:sdtEndPr/>
      <w:sdtContent/>
    </w:sdt>
    <w:r w:rsidR="003C6694">
      <w:t xml:space="preserve"> </w:t>
    </w:r>
    <w:r w:rsidR="003C6694" w:rsidRPr="002A0269">
      <w:ptab w:relativeTo="margin" w:alignment="center" w:leader="none"/>
    </w:r>
    <w:r w:rsidR="003C6694">
      <w:tab/>
    </w:r>
    <w:sdt>
      <w:sdtPr>
        <w:alias w:val="CBD Number"/>
        <w:tag w:val="CBD Number"/>
        <w:id w:val="1176923086"/>
        <w:lock w:val="sdtLocked"/>
        <w:showingPlcHdr/>
        <w:text/>
      </w:sdtPr>
      <w:sdtEndPr/>
      <w:sdtContent>
        <w:r w:rsidR="00086A0E">
          <w:t xml:space="preserve">     </w:t>
        </w:r>
      </w:sdtContent>
    </w:sdt>
  </w:p>
  <w:p w14:paraId="200A735B" w14:textId="77777777" w:rsidR="003C6694" w:rsidRPr="00C33014" w:rsidRDefault="003C6694"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01558" w14:textId="2DD97AA5" w:rsidR="003C6694" w:rsidRPr="002A0269" w:rsidRDefault="0026237D" w:rsidP="00CC1F3B">
    <w:pPr>
      <w:pStyle w:val="HeaderStyle"/>
    </w:pPr>
    <w:sdt>
      <w:sdtPr>
        <w:tag w:val="BNumWH"/>
        <w:id w:val="-1890952866"/>
        <w:placeholder>
          <w:docPart w:val="0928AA18168747E3B869FCFB7C67DB77"/>
        </w:placeholder>
        <w:showingPlcHdr/>
        <w:text/>
      </w:sdtPr>
      <w:sdtEndPr/>
      <w:sdtContent/>
    </w:sdt>
    <w:r w:rsidR="003C6694">
      <w:t xml:space="preserve"> </w:t>
    </w:r>
    <w:r w:rsidR="003C6694" w:rsidRPr="002A0269">
      <w:ptab w:relativeTo="margin" w:alignment="center" w:leader="none"/>
    </w:r>
    <w:r w:rsidR="003C6694">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86A0E"/>
    <w:rsid w:val="000C5C77"/>
    <w:rsid w:val="000E3912"/>
    <w:rsid w:val="0010070F"/>
    <w:rsid w:val="0015112E"/>
    <w:rsid w:val="001552E7"/>
    <w:rsid w:val="001566B4"/>
    <w:rsid w:val="001A66B7"/>
    <w:rsid w:val="001C279E"/>
    <w:rsid w:val="001D459E"/>
    <w:rsid w:val="0026237D"/>
    <w:rsid w:val="0027011C"/>
    <w:rsid w:val="00274200"/>
    <w:rsid w:val="00275740"/>
    <w:rsid w:val="002A0269"/>
    <w:rsid w:val="002E5026"/>
    <w:rsid w:val="00303684"/>
    <w:rsid w:val="003143F5"/>
    <w:rsid w:val="00314854"/>
    <w:rsid w:val="00394191"/>
    <w:rsid w:val="003C51CD"/>
    <w:rsid w:val="003C6694"/>
    <w:rsid w:val="004368E0"/>
    <w:rsid w:val="004C13DD"/>
    <w:rsid w:val="004C68C9"/>
    <w:rsid w:val="004D36C4"/>
    <w:rsid w:val="004E3441"/>
    <w:rsid w:val="004F20BC"/>
    <w:rsid w:val="00500579"/>
    <w:rsid w:val="0050525B"/>
    <w:rsid w:val="005A2CA4"/>
    <w:rsid w:val="005A3DAE"/>
    <w:rsid w:val="005A5366"/>
    <w:rsid w:val="005F7481"/>
    <w:rsid w:val="006369EB"/>
    <w:rsid w:val="00637E73"/>
    <w:rsid w:val="006865E9"/>
    <w:rsid w:val="00691F3E"/>
    <w:rsid w:val="00694BFB"/>
    <w:rsid w:val="006A106B"/>
    <w:rsid w:val="006C523D"/>
    <w:rsid w:val="006D4036"/>
    <w:rsid w:val="007A5259"/>
    <w:rsid w:val="007A7081"/>
    <w:rsid w:val="007D2896"/>
    <w:rsid w:val="007F1CF5"/>
    <w:rsid w:val="00834EDE"/>
    <w:rsid w:val="008736AA"/>
    <w:rsid w:val="008D275D"/>
    <w:rsid w:val="00933953"/>
    <w:rsid w:val="00980327"/>
    <w:rsid w:val="00986478"/>
    <w:rsid w:val="009B5557"/>
    <w:rsid w:val="009C7E9A"/>
    <w:rsid w:val="009F1067"/>
    <w:rsid w:val="00A31E01"/>
    <w:rsid w:val="00A527AD"/>
    <w:rsid w:val="00A718CF"/>
    <w:rsid w:val="00AC5B27"/>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560C2"/>
    <w:rsid w:val="00C85096"/>
    <w:rsid w:val="00CB1ADC"/>
    <w:rsid w:val="00CB20EF"/>
    <w:rsid w:val="00CC1F3B"/>
    <w:rsid w:val="00CD12CB"/>
    <w:rsid w:val="00CD36CF"/>
    <w:rsid w:val="00CE3C5A"/>
    <w:rsid w:val="00CF1DCA"/>
    <w:rsid w:val="00D30E77"/>
    <w:rsid w:val="00D579FC"/>
    <w:rsid w:val="00D81C16"/>
    <w:rsid w:val="00DA2508"/>
    <w:rsid w:val="00DE2EBC"/>
    <w:rsid w:val="00DE526B"/>
    <w:rsid w:val="00DF199D"/>
    <w:rsid w:val="00E01542"/>
    <w:rsid w:val="00E06F90"/>
    <w:rsid w:val="00E365F1"/>
    <w:rsid w:val="00E62F48"/>
    <w:rsid w:val="00E831B3"/>
    <w:rsid w:val="00E95FBC"/>
    <w:rsid w:val="00EE70CB"/>
    <w:rsid w:val="00F35EB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7B9916"/>
  <w15:chartTrackingRefBased/>
  <w15:docId w15:val="{D3E1E985-9683-4322-B2CF-0AA0360E4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8A350220B8A54E4E83307E773709790C"/>
        <w:category>
          <w:name w:val="General"/>
          <w:gallery w:val="placeholder"/>
        </w:category>
        <w:types>
          <w:type w:val="bbPlcHdr"/>
        </w:types>
        <w:behaviors>
          <w:behavior w:val="content"/>
        </w:behaviors>
        <w:guid w:val="{FE0CCC70-E326-4E0E-8514-F7EE69BF176E}"/>
      </w:docPartPr>
      <w:docPartBody>
        <w:p w:rsidR="0023360E" w:rsidRDefault="0023360E"/>
      </w:docPartBody>
    </w:docPart>
    <w:docPart>
      <w:docPartPr>
        <w:name w:val="0928AA18168747E3B869FCFB7C67DB77"/>
        <w:category>
          <w:name w:val="General"/>
          <w:gallery w:val="placeholder"/>
        </w:category>
        <w:types>
          <w:type w:val="bbPlcHdr"/>
        </w:types>
        <w:behaviors>
          <w:behavior w:val="content"/>
        </w:behaviors>
        <w:guid w:val="{8BDC7A4A-3437-4ECB-BB93-17D756EB230E}"/>
      </w:docPartPr>
      <w:docPartBody>
        <w:p w:rsidR="0023360E" w:rsidRDefault="002336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3360E"/>
    <w:rsid w:val="00240F20"/>
    <w:rsid w:val="00421365"/>
    <w:rsid w:val="00743FEF"/>
    <w:rsid w:val="00791900"/>
    <w:rsid w:val="00C705F8"/>
    <w:rsid w:val="00FF6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Bo Hoover</cp:lastModifiedBy>
  <cp:revision>4</cp:revision>
  <dcterms:created xsi:type="dcterms:W3CDTF">2021-03-09T20:20:00Z</dcterms:created>
  <dcterms:modified xsi:type="dcterms:W3CDTF">2021-03-10T19:56:00Z</dcterms:modified>
</cp:coreProperties>
</file>